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2F3F4" w14:textId="77777777" w:rsidR="00B21DD1" w:rsidRPr="00A32AE5" w:rsidRDefault="00B21DD1" w:rsidP="002148BD">
      <w:pPr>
        <w:spacing w:after="0" w:line="240" w:lineRule="auto"/>
        <w:rPr>
          <w:lang w:val="en-US"/>
        </w:rPr>
      </w:pPr>
      <w:r w:rsidRPr="00A32AE5">
        <w:rPr>
          <w:color w:val="17365D"/>
          <w:sz w:val="40"/>
          <w:lang w:val="en-US"/>
        </w:rPr>
        <w:t>Appendix: detailed overview of I</w:t>
      </w:r>
      <w:r>
        <w:rPr>
          <w:color w:val="17365D"/>
          <w:sz w:val="40"/>
          <w:lang w:val="en-US"/>
        </w:rPr>
        <w:t>IEP (syllabus)</w:t>
      </w:r>
    </w:p>
    <w:p w14:paraId="4CE5941B" w14:textId="77777777" w:rsidR="00B21DD1" w:rsidRDefault="00B21DD1" w:rsidP="002148BD">
      <w:pPr>
        <w:spacing w:after="538"/>
        <w:ind w:left="-29" w:right="-1398"/>
      </w:pP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4027904F" wp14:editId="48D7FB85">
                <wp:extent cx="5523865" cy="12192"/>
                <wp:effectExtent l="0" t="0" r="0" b="0"/>
                <wp:docPr id="1824" name="Group 1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865" cy="12192"/>
                          <a:chOff x="0" y="0"/>
                          <a:chExt cx="5523865" cy="12192"/>
                        </a:xfrm>
                      </wpg:grpSpPr>
                      <wps:wsp>
                        <wps:cNvPr id="2006" name="Shape 2006"/>
                        <wps:cNvSpPr/>
                        <wps:spPr>
                          <a:xfrm>
                            <a:off x="0" y="0"/>
                            <a:ext cx="552386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3865" h="12192">
                                <a:moveTo>
                                  <a:pt x="0" y="0"/>
                                </a:moveTo>
                                <a:lnTo>
                                  <a:pt x="5523865" y="0"/>
                                </a:lnTo>
                                <a:lnTo>
                                  <a:pt x="552386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1B4D6" id="Group 1824" o:spid="_x0000_s1026" style="width:434.95pt;height:.95pt;mso-position-horizontal-relative:char;mso-position-vertical-relative:line" coordsize="5523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">
                <v:shape id="Shape 2006" o:spid="_x0000_s1027" style="position:absolute;width:55238;height:121;visibility:visible;mso-wrap-style:square;v-text-anchor:top" coordsize="5523865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" path="m,l5523865,r,12192l,12192,,e" fillcolor="#4f81bd" stroked="f" strokeweight="0">
                  <v:stroke miterlimit="83231f" joinstyle="miter"/>
                  <v:path arrowok="t" textboxrect="0,0,5523865,12192"/>
                </v:shape>
                <w10:anchorlock/>
              </v:group>
            </w:pict>
          </mc:Fallback>
        </mc:AlternateContent>
      </w:r>
    </w:p>
    <w:p w14:paraId="1E6FC00E" w14:textId="77777777" w:rsidR="00B21DD1" w:rsidRDefault="00B21DD1" w:rsidP="00B21DD1">
      <w:pPr>
        <w:pStyle w:val="Heading1"/>
        <w:ind w:left="-5"/>
      </w:pPr>
      <w:r>
        <w:t xml:space="preserve">Basic </w:t>
      </w:r>
      <w:proofErr w:type="spellStart"/>
      <w:r>
        <w:t>information</w:t>
      </w:r>
      <w:proofErr w:type="spellEnd"/>
    </w:p>
    <w:tbl>
      <w:tblPr>
        <w:tblStyle w:val="TableGrid"/>
        <w:tblW w:w="8632" w:type="dxa"/>
        <w:tblInd w:w="5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316"/>
      </w:tblGrid>
      <w:tr w:rsidR="00B21DD1" w:rsidRPr="00B21DD1" w14:paraId="386DD620" w14:textId="77777777">
        <w:trPr>
          <w:trHeight w:val="506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447E" w14:textId="160AA4A4" w:rsidR="00B21DD1" w:rsidRDefault="00B21DD1" w:rsidP="00B21DD1">
            <w:r w:rsidRPr="00A90AFB">
              <w:t xml:space="preserve">Course </w:t>
            </w:r>
            <w:proofErr w:type="spellStart"/>
            <w:r w:rsidRPr="00A90AFB">
              <w:t>name</w:t>
            </w:r>
            <w:proofErr w:type="spellEnd"/>
            <w:r w:rsidRPr="00A90AFB"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709" w14:textId="1FAE4E09" w:rsidR="00B21DD1" w:rsidRPr="00781087" w:rsidRDefault="00B21DD1" w:rsidP="00B21DD1">
            <w:pPr>
              <w:rPr>
                <w:lang w:val="en-US"/>
              </w:rPr>
            </w:pPr>
            <w:r w:rsidRPr="00781087">
              <w:rPr>
                <w:rFonts w:ascii="Cambria" w:eastAsia="Cambria" w:hAnsi="Cambria" w:cs="Cambria"/>
                <w:lang w:val="en-US"/>
              </w:rPr>
              <w:t>Forecasting in Energy Systems and Electricity Markets in context of clean energy-based power systems</w:t>
            </w:r>
          </w:p>
        </w:tc>
      </w:tr>
      <w:tr w:rsidR="00B21DD1" w14:paraId="4B51A7D8" w14:textId="77777777">
        <w:trPr>
          <w:trHeight w:val="509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6C01" w14:textId="0475E691" w:rsidR="00B21DD1" w:rsidRDefault="00B21DD1" w:rsidP="00B21DD1">
            <w:proofErr w:type="spellStart"/>
            <w:r w:rsidRPr="00A90AFB">
              <w:t>Coordinating</w:t>
            </w:r>
            <w:proofErr w:type="spellEnd"/>
            <w:r w:rsidRPr="00A90AFB">
              <w:t xml:space="preserve"> </w:t>
            </w:r>
            <w:proofErr w:type="spellStart"/>
            <w:r w:rsidRPr="00A90AFB">
              <w:t>faculty</w:t>
            </w:r>
            <w:proofErr w:type="spellEnd"/>
            <w:r w:rsidRPr="00A90AFB"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F29" w14:textId="48FB2E59" w:rsidR="00B21DD1" w:rsidRDefault="00B21DD1" w:rsidP="00B21DD1">
            <w:r>
              <w:rPr>
                <w:rFonts w:ascii="Cambria" w:eastAsia="Cambria" w:hAnsi="Cambria" w:cs="Cambria"/>
              </w:rPr>
              <w:t>W5</w:t>
            </w:r>
          </w:p>
        </w:tc>
      </w:tr>
      <w:tr w:rsidR="00B21DD1" w14:paraId="3C3B3982" w14:textId="77777777">
        <w:trPr>
          <w:trHeight w:val="507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DC0B" w14:textId="361D6ECD" w:rsidR="00B21DD1" w:rsidRDefault="00B21DD1" w:rsidP="00B21DD1">
            <w:proofErr w:type="spellStart"/>
            <w:r w:rsidRPr="00A90AFB">
              <w:t>Coordinator</w:t>
            </w:r>
            <w:proofErr w:type="spellEnd"/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4BEB" w14:textId="3924457B" w:rsidR="00B21DD1" w:rsidRDefault="00B21DD1" w:rsidP="00B21DD1">
            <w:r>
              <w:rPr>
                <w:rFonts w:ascii="Times New Roman" w:eastAsia="Cambria" w:hAnsi="Times New Roman" w:cs="Times New Roman"/>
                <w:kern w:val="0"/>
                <w:sz w:val="24"/>
                <w14:ligatures w14:val="none"/>
              </w:rPr>
              <w:t xml:space="preserve">dr inż. </w:t>
            </w:r>
            <w:proofErr w:type="spellStart"/>
            <w:r>
              <w:rPr>
                <w:kern w:val="0"/>
                <w14:ligatures w14:val="none"/>
              </w:rPr>
              <w:t>Vishnu</w:t>
            </w:r>
            <w:proofErr w:type="spellEnd"/>
            <w:r>
              <w:rPr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kern w:val="0"/>
                <w14:ligatures w14:val="none"/>
              </w:rPr>
              <w:t>Suresh</w:t>
            </w:r>
            <w:proofErr w:type="spellEnd"/>
          </w:p>
        </w:tc>
      </w:tr>
    </w:tbl>
    <w:p w14:paraId="7B2451F2" w14:textId="77777777" w:rsidR="00B07B13" w:rsidRDefault="00B07B13">
      <w:pPr>
        <w:pStyle w:val="Heading1"/>
        <w:ind w:left="-5"/>
      </w:pPr>
    </w:p>
    <w:p w14:paraId="6179F911" w14:textId="77777777" w:rsidR="00B07B13" w:rsidRDefault="00B07B13" w:rsidP="00B21DD1">
      <w:pPr>
        <w:spacing w:after="0"/>
        <w:rPr>
          <w:b/>
          <w:color w:val="365F91"/>
          <w:sz w:val="28"/>
        </w:rPr>
      </w:pPr>
    </w:p>
    <w:p w14:paraId="2CED7D53" w14:textId="77777777" w:rsidR="00B21DD1" w:rsidRDefault="00B21DD1" w:rsidP="00B21DD1">
      <w:pPr>
        <w:pStyle w:val="Heading1"/>
        <w:ind w:left="-5"/>
      </w:pPr>
      <w:r>
        <w:t xml:space="preserve">Learning </w:t>
      </w:r>
      <w:proofErr w:type="spellStart"/>
      <w:r>
        <w:t>effects</w:t>
      </w:r>
      <w:proofErr w:type="spellEnd"/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21"/>
        <w:gridCol w:w="2421"/>
        <w:gridCol w:w="440"/>
        <w:gridCol w:w="1980"/>
      </w:tblGrid>
      <w:tr w:rsidR="00B21DD1" w14:paraId="27FC568E" w14:textId="77777777" w:rsidTr="00510A6B">
        <w:tc>
          <w:tcPr>
            <w:tcW w:w="2421" w:type="dxa"/>
          </w:tcPr>
          <w:p w14:paraId="355B9E63" w14:textId="5B0A56D1" w:rsidR="00B21DD1" w:rsidRPr="000D6ECA" w:rsidRDefault="00B21DD1" w:rsidP="00B21DD1">
            <w:pPr>
              <w:jc w:val="center"/>
              <w:rPr>
                <w:lang w:val="pl-PL"/>
              </w:rPr>
            </w:pPr>
            <w:proofErr w:type="spellStart"/>
            <w:r>
              <w:rPr>
                <w:lang w:val="pl-PL"/>
              </w:rPr>
              <w:t>Qualification</w:t>
            </w:r>
            <w:proofErr w:type="spellEnd"/>
            <w:r>
              <w:rPr>
                <w:lang w:val="pl-PL"/>
              </w:rPr>
              <w:t xml:space="preserve"> </w:t>
            </w:r>
            <w:proofErr w:type="spellStart"/>
            <w:r>
              <w:rPr>
                <w:lang w:val="pl-PL"/>
              </w:rPr>
              <w:t>name</w:t>
            </w:r>
            <w:proofErr w:type="spellEnd"/>
          </w:p>
        </w:tc>
        <w:tc>
          <w:tcPr>
            <w:tcW w:w="2421" w:type="dxa"/>
          </w:tcPr>
          <w:p w14:paraId="16D817E8" w14:textId="50CE6361" w:rsidR="00B21DD1" w:rsidRPr="000D6ECA" w:rsidRDefault="00B21DD1" w:rsidP="00B21DD1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Learning </w:t>
            </w:r>
            <w:proofErr w:type="spellStart"/>
            <w:r>
              <w:rPr>
                <w:lang w:val="pl-PL"/>
              </w:rPr>
              <w:t>effects</w:t>
            </w:r>
            <w:proofErr w:type="spellEnd"/>
          </w:p>
        </w:tc>
        <w:tc>
          <w:tcPr>
            <w:tcW w:w="2420" w:type="dxa"/>
            <w:gridSpan w:val="2"/>
          </w:tcPr>
          <w:p w14:paraId="7B19CDE2" w14:textId="3672396D" w:rsidR="00B21DD1" w:rsidRPr="000D6ECA" w:rsidRDefault="00B21DD1" w:rsidP="00B21DD1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EQF </w:t>
            </w:r>
            <w:proofErr w:type="spellStart"/>
            <w:r>
              <w:rPr>
                <w:lang w:val="pl-PL"/>
              </w:rPr>
              <w:t>level</w:t>
            </w:r>
            <w:proofErr w:type="spellEnd"/>
          </w:p>
        </w:tc>
      </w:tr>
      <w:tr w:rsidR="000D6ECA" w14:paraId="61DE6C14" w14:textId="77777777" w:rsidTr="00C84805">
        <w:tc>
          <w:tcPr>
            <w:tcW w:w="7262" w:type="dxa"/>
            <w:gridSpan w:val="4"/>
          </w:tcPr>
          <w:p w14:paraId="16915E61" w14:textId="0C80F27A" w:rsidR="000D6ECA" w:rsidRPr="000D6ECA" w:rsidRDefault="00B21DD1" w:rsidP="00C8480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Knowledge</w:t>
            </w:r>
          </w:p>
        </w:tc>
      </w:tr>
      <w:tr w:rsidR="00EE66A3" w14:paraId="2A5D6F9E" w14:textId="77777777" w:rsidTr="00510A6B">
        <w:tc>
          <w:tcPr>
            <w:tcW w:w="2421" w:type="dxa"/>
          </w:tcPr>
          <w:p w14:paraId="255CB2D2" w14:textId="5191387C" w:rsidR="00EE66A3" w:rsidRPr="00B3442F" w:rsidRDefault="00EE66A3" w:rsidP="00EE66A3">
            <w:pPr>
              <w:rPr>
                <w:rFonts w:ascii="Cambria" w:eastAsia="Cambria" w:hAnsi="Cambria" w:cs="Cambria"/>
              </w:rPr>
            </w:pPr>
            <w:bookmarkStart w:id="0" w:name="_GoBack" w:colFirst="0" w:colLast="2"/>
            <w:r w:rsidRPr="00B3442F">
              <w:rPr>
                <w:rFonts w:ascii="Cambria" w:eastAsia="Cambria" w:hAnsi="Cambria" w:cs="Cambria"/>
              </w:rPr>
              <w:t xml:space="preserve">(1) </w:t>
            </w:r>
            <w:r>
              <w:rPr>
                <w:rFonts w:ascii="Cambria" w:eastAsia="Cambria" w:hAnsi="Cambria" w:cs="Cambria"/>
              </w:rPr>
              <w:t>The ability to d</w:t>
            </w:r>
            <w:r w:rsidRPr="00B3442F">
              <w:rPr>
                <w:rFonts w:ascii="Cambria" w:eastAsia="Cambria" w:hAnsi="Cambria" w:cs="Cambria"/>
              </w:rPr>
              <w:t>evelop  forecasting models u</w:t>
            </w:r>
            <w:r w:rsidRPr="009F54B9">
              <w:rPr>
                <w:rFonts w:ascii="Cambria" w:eastAsia="Cambria" w:hAnsi="Cambria" w:cs="Cambria"/>
              </w:rPr>
              <w:t>sing renewable energy and power consumption</w:t>
            </w:r>
          </w:p>
        </w:tc>
        <w:tc>
          <w:tcPr>
            <w:tcW w:w="2861" w:type="dxa"/>
            <w:gridSpan w:val="2"/>
          </w:tcPr>
          <w:p w14:paraId="1D142301" w14:textId="2AF9F0BD" w:rsidR="00EE66A3" w:rsidRPr="00E01154" w:rsidRDefault="00EE66A3" w:rsidP="00EE66A3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</w:rPr>
            </w:pPr>
            <w:r>
              <w:rPr>
                <w:sz w:val="19"/>
                <w:lang w:val="en-GB"/>
              </w:rPr>
              <w:t>Characterizes the key concepts, forecasting horizons and applications of forecasting in power systems and electricity markets, with emphasis on variability in renewable generation, loads and electricity prices.</w:t>
            </w:r>
          </w:p>
        </w:tc>
        <w:tc>
          <w:tcPr>
            <w:tcW w:w="1980" w:type="dxa"/>
          </w:tcPr>
          <w:p w14:paraId="288FA944" w14:textId="69527472" w:rsidR="00EE66A3" w:rsidRDefault="00EE66A3" w:rsidP="00EE66A3">
            <w:r>
              <w:t>VI</w:t>
            </w:r>
          </w:p>
        </w:tc>
      </w:tr>
      <w:tr w:rsidR="00EE66A3" w14:paraId="41FF1DB4" w14:textId="77777777" w:rsidTr="00510A6B">
        <w:tc>
          <w:tcPr>
            <w:tcW w:w="2421" w:type="dxa"/>
          </w:tcPr>
          <w:p w14:paraId="1B4A3460" w14:textId="77777777" w:rsidR="00EE66A3" w:rsidRPr="009F54B9" w:rsidRDefault="00EE66A3" w:rsidP="00EE66A3">
            <w:pPr>
              <w:rPr>
                <w:rFonts w:ascii="Cambria" w:eastAsia="Cambria" w:hAnsi="Cambria" w:cs="Cambria"/>
              </w:rPr>
            </w:pPr>
            <w:r w:rsidRPr="00B3442F">
              <w:rPr>
                <w:rFonts w:ascii="Cambria" w:eastAsia="Cambria" w:hAnsi="Cambria" w:cs="Cambria"/>
              </w:rPr>
              <w:t xml:space="preserve">(2) </w:t>
            </w:r>
            <w:r>
              <w:rPr>
                <w:rFonts w:ascii="Cambria" w:eastAsia="Cambria" w:hAnsi="Cambria" w:cs="Cambria"/>
              </w:rPr>
              <w:t xml:space="preserve">The ability to </w:t>
            </w:r>
            <w:proofErr w:type="spellStart"/>
            <w:r>
              <w:rPr>
                <w:rFonts w:ascii="Cambria" w:eastAsia="Cambria" w:hAnsi="Cambria" w:cs="Cambria"/>
              </w:rPr>
              <w:t>a</w:t>
            </w:r>
            <w:r w:rsidRPr="00B3442F">
              <w:rPr>
                <w:rFonts w:ascii="Cambria" w:eastAsia="Cambria" w:hAnsi="Cambria" w:cs="Cambria"/>
              </w:rPr>
              <w:t>nalys</w:t>
            </w:r>
            <w:r>
              <w:rPr>
                <w:rFonts w:ascii="Cambria" w:eastAsia="Cambria" w:hAnsi="Cambria" w:cs="Cambria"/>
              </w:rPr>
              <w:t>e</w:t>
            </w:r>
            <w:proofErr w:type="spellEnd"/>
            <w:r w:rsidRPr="00B3442F">
              <w:rPr>
                <w:rFonts w:ascii="Cambria" w:eastAsia="Cambria" w:hAnsi="Cambria" w:cs="Cambria"/>
              </w:rPr>
              <w:t xml:space="preserve">  power generation, consumption and </w:t>
            </w:r>
            <w:r w:rsidRPr="009F54B9">
              <w:rPr>
                <w:rFonts w:ascii="Cambria" w:eastAsia="Cambria" w:hAnsi="Cambria" w:cs="Cambria"/>
              </w:rPr>
              <w:t xml:space="preserve">energy </w:t>
            </w:r>
            <w:r w:rsidRPr="00B3442F">
              <w:rPr>
                <w:rFonts w:ascii="Cambria" w:eastAsia="Cambria" w:hAnsi="Cambria" w:cs="Cambria"/>
              </w:rPr>
              <w:t>ma</w:t>
            </w:r>
            <w:r w:rsidRPr="009F54B9">
              <w:rPr>
                <w:rFonts w:ascii="Cambria" w:eastAsia="Cambria" w:hAnsi="Cambria" w:cs="Cambria"/>
              </w:rPr>
              <w:t>rket cost</w:t>
            </w:r>
            <w:r w:rsidRPr="00B3442F">
              <w:rPr>
                <w:rFonts w:ascii="Cambria" w:eastAsia="Cambria" w:hAnsi="Cambria" w:cs="Cambria"/>
              </w:rPr>
              <w:t xml:space="preserve"> fluctuations</w:t>
            </w:r>
            <w:r w:rsidRPr="009F54B9">
              <w:rPr>
                <w:rFonts w:ascii="Cambria" w:eastAsia="Cambria" w:hAnsi="Cambria" w:cs="Cambria"/>
              </w:rPr>
              <w:t xml:space="preserve"> using historical data in clean energy based power systems</w:t>
            </w:r>
          </w:p>
          <w:p w14:paraId="59C4A104" w14:textId="36FF3D7C" w:rsidR="00EE66A3" w:rsidRPr="00B16D0F" w:rsidRDefault="00EE66A3" w:rsidP="00EE66A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61" w:type="dxa"/>
            <w:gridSpan w:val="2"/>
          </w:tcPr>
          <w:p w14:paraId="6761FBFB" w14:textId="7B467B94" w:rsidR="00EE66A3" w:rsidRPr="00E01154" w:rsidRDefault="00EE66A3" w:rsidP="00EE66A3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</w:rPr>
            </w:pPr>
            <w:r>
              <w:rPr>
                <w:sz w:val="19"/>
                <w:lang w:val="en-GB"/>
              </w:rPr>
              <w:t>Identifies the main stages of the forecasting workflow: data preparation, feature engineering, model selection, validation and interpretation of forecast quality in technical and market decision contexts.</w:t>
            </w:r>
          </w:p>
        </w:tc>
        <w:tc>
          <w:tcPr>
            <w:tcW w:w="1980" w:type="dxa"/>
          </w:tcPr>
          <w:p w14:paraId="350CAABE" w14:textId="47E10703" w:rsidR="00EE66A3" w:rsidRDefault="00EE66A3" w:rsidP="00EE66A3">
            <w:r>
              <w:t>VI</w:t>
            </w:r>
          </w:p>
        </w:tc>
      </w:tr>
      <w:bookmarkEnd w:id="0"/>
      <w:tr w:rsidR="000D6ECA" w14:paraId="728629E6" w14:textId="77777777" w:rsidTr="00C84805">
        <w:tc>
          <w:tcPr>
            <w:tcW w:w="7262" w:type="dxa"/>
            <w:gridSpan w:val="4"/>
          </w:tcPr>
          <w:p w14:paraId="5D8FD90A" w14:textId="00DB701C" w:rsidR="000D6ECA" w:rsidRDefault="00B21DD1" w:rsidP="00C84805">
            <w:pPr>
              <w:jc w:val="center"/>
            </w:pPr>
            <w:r>
              <w:t>Abilities</w:t>
            </w:r>
          </w:p>
        </w:tc>
      </w:tr>
      <w:tr w:rsidR="00EE66A3" w14:paraId="5A2606DD" w14:textId="77777777" w:rsidTr="00510A6B">
        <w:tc>
          <w:tcPr>
            <w:tcW w:w="2421" w:type="dxa"/>
          </w:tcPr>
          <w:p w14:paraId="20025185" w14:textId="669F81B5" w:rsidR="00EE66A3" w:rsidRDefault="00EE66A3" w:rsidP="00EE66A3">
            <w:r>
              <w:t>(1)</w:t>
            </w:r>
          </w:p>
        </w:tc>
        <w:tc>
          <w:tcPr>
            <w:tcW w:w="2861" w:type="dxa"/>
            <w:gridSpan w:val="2"/>
          </w:tcPr>
          <w:p w14:paraId="13FE23A0" w14:textId="7D93C5D1" w:rsidR="00EE66A3" w:rsidRPr="00E243A0" w:rsidRDefault="00EE66A3" w:rsidP="00EE66A3">
            <w:pPr>
              <w:pStyle w:val="ListParagraph"/>
              <w:numPr>
                <w:ilvl w:val="0"/>
                <w:numId w:val="4"/>
              </w:numPr>
            </w:pPr>
            <w:r>
              <w:rPr>
                <w:sz w:val="19"/>
                <w:lang w:val="en-GB"/>
              </w:rPr>
              <w:t xml:space="preserve">Constructs forecasting models that account for renewable energy </w:t>
            </w:r>
            <w:r>
              <w:rPr>
                <w:sz w:val="19"/>
                <w:lang w:val="en-GB"/>
              </w:rPr>
              <w:lastRenderedPageBreak/>
              <w:t>generation, energy consumption, weather variables, calendar features and historical market data.</w:t>
            </w:r>
          </w:p>
        </w:tc>
        <w:tc>
          <w:tcPr>
            <w:tcW w:w="1980" w:type="dxa"/>
          </w:tcPr>
          <w:p w14:paraId="17A96F78" w14:textId="39B48769" w:rsidR="00EE66A3" w:rsidRDefault="00EE66A3" w:rsidP="00EE66A3">
            <w:r>
              <w:lastRenderedPageBreak/>
              <w:t>VI</w:t>
            </w:r>
          </w:p>
        </w:tc>
      </w:tr>
      <w:tr w:rsidR="00EE66A3" w14:paraId="27A9F4E2" w14:textId="77777777" w:rsidTr="00510A6B">
        <w:tc>
          <w:tcPr>
            <w:tcW w:w="2421" w:type="dxa"/>
          </w:tcPr>
          <w:p w14:paraId="5DBB955E" w14:textId="77777777" w:rsidR="00EE66A3" w:rsidRDefault="00EE66A3" w:rsidP="00EE66A3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(2) </w:t>
            </w:r>
          </w:p>
          <w:p w14:paraId="7FE235EE" w14:textId="438CBD69" w:rsidR="00EE66A3" w:rsidRPr="00B16D0F" w:rsidRDefault="00EE66A3" w:rsidP="00EE66A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61" w:type="dxa"/>
            <w:gridSpan w:val="2"/>
          </w:tcPr>
          <w:p w14:paraId="243BF003" w14:textId="3761E1AE" w:rsidR="00EE66A3" w:rsidRPr="00510A6B" w:rsidRDefault="00EE66A3" w:rsidP="00EE66A3">
            <w:pPr>
              <w:pStyle w:val="ListParagraph"/>
              <w:numPr>
                <w:ilvl w:val="0"/>
                <w:numId w:val="4"/>
              </w:numPr>
              <w:rPr>
                <w:rFonts w:ascii="Cambria" w:eastAsia="Cambria" w:hAnsi="Cambria" w:cs="Cambria"/>
                <w:lang w:eastAsia="en-US"/>
              </w:rPr>
            </w:pPr>
            <w:r>
              <w:rPr>
                <w:sz w:val="19"/>
                <w:lang w:val="en-GB"/>
              </w:rPr>
              <w:t xml:space="preserve">Analyses variability in generation, loads and prices using historical data and validate forecasts with error and goodness-of-fit measures such as MAE, RMSE, MAPE, </w:t>
            </w:r>
            <w:proofErr w:type="spellStart"/>
            <w:r>
              <w:rPr>
                <w:sz w:val="19"/>
                <w:lang w:val="en-GB"/>
              </w:rPr>
              <w:t>sMAPE</w:t>
            </w:r>
            <w:proofErr w:type="spellEnd"/>
            <w:r>
              <w:rPr>
                <w:sz w:val="19"/>
                <w:lang w:val="en-GB"/>
              </w:rPr>
              <w:t xml:space="preserve"> and bias.</w:t>
            </w:r>
          </w:p>
        </w:tc>
        <w:tc>
          <w:tcPr>
            <w:tcW w:w="1980" w:type="dxa"/>
          </w:tcPr>
          <w:p w14:paraId="2A736301" w14:textId="5E65C89F" w:rsidR="00EE66A3" w:rsidRDefault="00EE66A3" w:rsidP="00EE66A3">
            <w:r>
              <w:t>VI</w:t>
            </w:r>
          </w:p>
        </w:tc>
      </w:tr>
      <w:tr w:rsidR="000D6ECA" w14:paraId="1AC7279D" w14:textId="77777777" w:rsidTr="00C84805">
        <w:tc>
          <w:tcPr>
            <w:tcW w:w="7262" w:type="dxa"/>
            <w:gridSpan w:val="4"/>
          </w:tcPr>
          <w:p w14:paraId="5C35E60B" w14:textId="054C024F" w:rsidR="000D6ECA" w:rsidRDefault="00B21DD1" w:rsidP="00C84805">
            <w:pPr>
              <w:jc w:val="center"/>
            </w:pPr>
            <w:r>
              <w:t>Social qualifications</w:t>
            </w:r>
          </w:p>
        </w:tc>
      </w:tr>
      <w:tr w:rsidR="00EE66A3" w14:paraId="31491B58" w14:textId="77777777" w:rsidTr="00510A6B">
        <w:tc>
          <w:tcPr>
            <w:tcW w:w="2421" w:type="dxa"/>
          </w:tcPr>
          <w:p w14:paraId="65476FED" w14:textId="0E65E20C" w:rsidR="00EE66A3" w:rsidRPr="00B3442F" w:rsidRDefault="00EE66A3" w:rsidP="00EE66A3">
            <w:r w:rsidRPr="00B3442F">
              <w:t xml:space="preserve">3) </w:t>
            </w:r>
            <w:r>
              <w:t>The ability to v</w:t>
            </w:r>
            <w:r w:rsidRPr="00B3442F">
              <w:t>alidat</w:t>
            </w:r>
            <w:r>
              <w:t>e</w:t>
            </w:r>
            <w:r w:rsidRPr="00B3442F">
              <w:t xml:space="preserve"> of forecasting models</w:t>
            </w:r>
            <w:r w:rsidRPr="009F54B9">
              <w:t xml:space="preserve"> using advanced error measures</w:t>
            </w:r>
            <w:r w:rsidRPr="00B3442F">
              <w:t xml:space="preserve"> f</w:t>
            </w:r>
            <w:r w:rsidRPr="009F54B9">
              <w:t>or clean energy based power systems</w:t>
            </w:r>
          </w:p>
        </w:tc>
        <w:tc>
          <w:tcPr>
            <w:tcW w:w="2861" w:type="dxa"/>
            <w:gridSpan w:val="2"/>
          </w:tcPr>
          <w:p w14:paraId="009DB24A" w14:textId="3946225F" w:rsidR="00EE66A3" w:rsidRPr="00E81F35" w:rsidRDefault="00EE66A3" w:rsidP="00EE66A3">
            <w:pPr>
              <w:pStyle w:val="ListParagraph"/>
              <w:numPr>
                <w:ilvl w:val="0"/>
                <w:numId w:val="4"/>
              </w:numPr>
              <w:rPr>
                <w:lang w:eastAsia="en-US"/>
              </w:rPr>
            </w:pPr>
            <w:r>
              <w:rPr>
                <w:sz w:val="19"/>
                <w:lang w:val="en-GB"/>
              </w:rPr>
              <w:t>C</w:t>
            </w:r>
            <w:r w:rsidRPr="00D814E1">
              <w:rPr>
                <w:sz w:val="19"/>
                <w:lang w:val="en-GB"/>
              </w:rPr>
              <w:t>ritically asses</w:t>
            </w:r>
            <w:r>
              <w:rPr>
                <w:sz w:val="19"/>
                <w:lang w:val="en-GB"/>
              </w:rPr>
              <w:t>ses</w:t>
            </w:r>
            <w:r w:rsidRPr="00D814E1">
              <w:rPr>
                <w:sz w:val="19"/>
                <w:lang w:val="en-GB"/>
              </w:rPr>
              <w:t xml:space="preserve"> data quality, limitations of forecasting models and consequences of forecast errors for the energy transition and stakeholder decisions.</w:t>
            </w:r>
          </w:p>
        </w:tc>
        <w:tc>
          <w:tcPr>
            <w:tcW w:w="1980" w:type="dxa"/>
          </w:tcPr>
          <w:p w14:paraId="3CCD7688" w14:textId="17E12D0A" w:rsidR="00EE66A3" w:rsidRDefault="00EE66A3" w:rsidP="00EE66A3">
            <w:r>
              <w:t>VI</w:t>
            </w:r>
          </w:p>
        </w:tc>
      </w:tr>
    </w:tbl>
    <w:p w14:paraId="16F9A44E" w14:textId="77777777" w:rsidR="00B21DD1" w:rsidRDefault="00B21DD1" w:rsidP="00B21DD1">
      <w:pPr>
        <w:spacing w:line="278" w:lineRule="auto"/>
        <w:rPr>
          <w:b/>
          <w:color w:val="365F91"/>
          <w:sz w:val="28"/>
        </w:rPr>
      </w:pPr>
    </w:p>
    <w:p w14:paraId="0E5226A4" w14:textId="77777777" w:rsidR="00B21DD1" w:rsidRDefault="00B21DD1" w:rsidP="00B21DD1">
      <w:pPr>
        <w:spacing w:after="0"/>
        <w:ind w:left="-5" w:hanging="10"/>
      </w:pPr>
      <w:r>
        <w:rPr>
          <w:b/>
          <w:color w:val="365F91"/>
          <w:sz w:val="28"/>
        </w:rPr>
        <w:t xml:space="preserve">Course </w:t>
      </w:r>
      <w:proofErr w:type="spellStart"/>
      <w:r>
        <w:rPr>
          <w:b/>
          <w:color w:val="365F91"/>
          <w:sz w:val="28"/>
        </w:rPr>
        <w:t>content</w:t>
      </w:r>
      <w:proofErr w:type="spellEnd"/>
    </w:p>
    <w:tbl>
      <w:tblPr>
        <w:tblW w:w="9225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6984"/>
        <w:gridCol w:w="1476"/>
      </w:tblGrid>
      <w:tr w:rsidR="000D6ECA" w:rsidRPr="00B21DD1" w14:paraId="271CD535" w14:textId="77777777" w:rsidTr="00C84805">
        <w:trPr>
          <w:trHeight w:val="33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7D4E" w14:textId="7B96330C" w:rsidR="000D6ECA" w:rsidRPr="00B21DD1" w:rsidRDefault="000D6ECA" w:rsidP="00C84805">
            <w:pPr>
              <w:spacing w:after="549"/>
              <w:rPr>
                <w:b/>
                <w:bCs/>
                <w:lang w:val="en-US"/>
              </w:rPr>
            </w:pPr>
            <w:r w:rsidRPr="00B21DD1">
              <w:rPr>
                <w:rFonts w:ascii="Cambria" w:eastAsia="Cambria" w:hAnsi="Cambria" w:cs="Cambria"/>
                <w:lang w:val="en-US"/>
              </w:rPr>
              <w:t xml:space="preserve">  </w:t>
            </w:r>
            <w:r w:rsidR="00B21DD1" w:rsidRPr="00260C54">
              <w:rPr>
                <w:b/>
                <w:bCs/>
                <w:lang w:val="en-US"/>
              </w:rPr>
              <w:t>Teaching content of the I</w:t>
            </w:r>
            <w:r w:rsidR="00B21DD1">
              <w:rPr>
                <w:b/>
                <w:bCs/>
                <w:lang w:val="en-US"/>
              </w:rPr>
              <w:t>IEP</w:t>
            </w:r>
          </w:p>
        </w:tc>
      </w:tr>
      <w:tr w:rsidR="000D6ECA" w:rsidRPr="00B07B13" w14:paraId="1A92D260" w14:textId="77777777" w:rsidTr="00C84805">
        <w:trPr>
          <w:trHeight w:val="20"/>
        </w:trPr>
        <w:tc>
          <w:tcPr>
            <w:tcW w:w="7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C0AC1" w14:textId="7704CC5A" w:rsidR="000D6ECA" w:rsidRPr="00B61109" w:rsidRDefault="00B21DD1" w:rsidP="00C84805">
            <w:pPr>
              <w:numPr>
                <w:ilvl w:val="2"/>
                <w:numId w:val="1"/>
              </w:numPr>
              <w:spacing w:after="54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3FF0" w14:textId="0323C35A" w:rsidR="000D6ECA" w:rsidRPr="00B61109" w:rsidRDefault="00B21DD1" w:rsidP="00C84805">
            <w:pPr>
              <w:numPr>
                <w:ilvl w:val="4"/>
                <w:numId w:val="1"/>
              </w:numPr>
              <w:spacing w:after="549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="000D6ECA" w:rsidRPr="00B61109">
              <w:rPr>
                <w:b/>
                <w:bCs/>
              </w:rPr>
              <w:t xml:space="preserve"> </w:t>
            </w:r>
          </w:p>
        </w:tc>
      </w:tr>
      <w:tr w:rsidR="00B3442F" w:rsidRPr="00B07B13" w14:paraId="015CD1EF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D6DD7" w14:textId="425ED662" w:rsidR="00B3442F" w:rsidRPr="00B61109" w:rsidRDefault="00B3442F" w:rsidP="00B3442F">
            <w:pPr>
              <w:spacing w:after="549"/>
              <w:rPr>
                <w:bCs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9716" w14:textId="5749F04E" w:rsidR="00B3442F" w:rsidRPr="00510A6B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  <w:lang w:val="en-GB"/>
              </w:rPr>
              <w:t>Introduction to forecasting in power systems and electricity markets in the context of the clean-energy transition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9DB" w14:textId="47F353CB" w:rsidR="00B3442F" w:rsidRPr="00B07B13" w:rsidRDefault="00B3442F" w:rsidP="00B3442F">
            <w:pPr>
              <w:spacing w:after="549"/>
              <w:rPr>
                <w:lang w:val="en-US"/>
              </w:rPr>
            </w:pPr>
            <w:r>
              <w:rPr>
                <w:sz w:val="19"/>
              </w:rPr>
              <w:t>2</w:t>
            </w:r>
          </w:p>
        </w:tc>
      </w:tr>
      <w:tr w:rsidR="00B3442F" w:rsidRPr="00B07B13" w14:paraId="6EF3148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E7C76" w14:textId="76697CC8" w:rsidR="00B3442F" w:rsidRPr="00B07B13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t>2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9B560" w14:textId="354C1C73" w:rsidR="00B3442F" w:rsidRPr="0010739E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  <w:lang w:val="en-GB"/>
              </w:rPr>
              <w:t>Energy time-series data: structure, timestamps, missing data, anomalies, outliers and decomposition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0881" w14:textId="581A0D87" w:rsidR="00B3442F" w:rsidRPr="00B07B13" w:rsidRDefault="00B3442F" w:rsidP="00B3442F">
            <w:pPr>
              <w:spacing w:after="549"/>
              <w:rPr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B3442F" w:rsidRPr="00B07B13" w14:paraId="417D27B6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76CCF" w14:textId="7D09A84F" w:rsidR="00B3442F" w:rsidRPr="00B07B13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t>3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C64572" w14:textId="48BE53DB" w:rsidR="00B3442F" w:rsidRPr="009A4F61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  <w:lang w:val="en-GB"/>
              </w:rPr>
              <w:t>Feature engineering for load, renewable generation and electricity-price forecasting: calendar, weather, lag and exogenous variables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172F" w14:textId="4DE2BAB6" w:rsidR="00B3442F" w:rsidRPr="00B07B13" w:rsidRDefault="00B3442F" w:rsidP="00B3442F">
            <w:pPr>
              <w:spacing w:after="549"/>
              <w:rPr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B3442F" w:rsidRPr="00B07B13" w14:paraId="01A2A64C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94F73" w14:textId="3F24C51F" w:rsidR="00B3442F" w:rsidRPr="00B07B13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t>4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9E2EA" w14:textId="3EF43757" w:rsidR="00B3442F" w:rsidRPr="0010739E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  <w:lang w:val="en-GB"/>
              </w:rPr>
              <w:t>Baseline and classical forecasting models: naive, seasonal naive, regression, exponential smoothing and ARIMA-oriented approaches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19D3" w14:textId="0DE52050" w:rsidR="00B3442F" w:rsidRPr="00B07B13" w:rsidRDefault="00B3442F" w:rsidP="00B3442F">
            <w:pPr>
              <w:spacing w:after="549"/>
              <w:rPr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B3442F" w:rsidRPr="00B07B13" w14:paraId="2A99C85E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2EED1" w14:textId="2A155928" w:rsidR="00B3442F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lastRenderedPageBreak/>
              <w:t>5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C0B1CD" w14:textId="100A20EF" w:rsidR="00B3442F" w:rsidRPr="00182861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  <w:lang w:val="en-GB"/>
              </w:rPr>
              <w:t>Machine-learning models for energy forecasting: decision trees, random forests, boosting, neural networks and data-leakage risks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D232" w14:textId="6F9E3CA6" w:rsidR="00B3442F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B3442F" w:rsidRPr="00B07B13" w14:paraId="09AA3984" w14:textId="77777777" w:rsidTr="0015450B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1F3DD" w14:textId="2489A59E" w:rsidR="00B3442F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t>6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53D68" w14:textId="4FA354DF" w:rsidR="00B3442F" w:rsidRPr="00182861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  <w:lang w:val="en-GB"/>
              </w:rPr>
              <w:t xml:space="preserve">Forecast validation and evaluation: time-based splitting, rolling-origin back testing, MAE, RMSE, MAPE, </w:t>
            </w:r>
            <w:proofErr w:type="spellStart"/>
            <w:r>
              <w:rPr>
                <w:sz w:val="19"/>
                <w:lang w:val="en-GB"/>
              </w:rPr>
              <w:t>sMAPE</w:t>
            </w:r>
            <w:proofErr w:type="spellEnd"/>
            <w:r>
              <w:rPr>
                <w:sz w:val="19"/>
                <w:lang w:val="en-GB"/>
              </w:rPr>
              <w:t>, bias and error diagnostics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6345" w14:textId="47FBCAE0" w:rsidR="00B3442F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B3442F" w:rsidRPr="00B07B13" w14:paraId="39EEF3BA" w14:textId="77777777" w:rsidTr="0015450B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B23BA9" w14:textId="21A2C161" w:rsidR="00B3442F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t>7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79173" w14:textId="7BE15D15" w:rsidR="00B3442F" w:rsidRPr="00182861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  <w:lang w:val="en-GB"/>
              </w:rPr>
              <w:t>Ensemble, hybrid and probabilistic forecasting: forecast combinations, prediction intervals and scenarios for operational and market decisions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8E18" w14:textId="0FBCED56" w:rsidR="00B3442F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B3442F" w:rsidRPr="00B07B13" w14:paraId="180767A1" w14:textId="77777777" w:rsidTr="0015450B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B85392" w14:textId="5DE9B5B6" w:rsidR="00B3442F" w:rsidRDefault="00B3442F" w:rsidP="00B3442F">
            <w:pPr>
              <w:spacing w:after="549"/>
              <w:rPr>
                <w:bCs/>
                <w:lang w:val="en-US"/>
              </w:rPr>
            </w:pPr>
            <w:r>
              <w:rPr>
                <w:sz w:val="19"/>
              </w:rPr>
              <w:t>8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6ADC56" w14:textId="69ECED2B" w:rsidR="00B3442F" w:rsidRPr="00182861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  <w:lang w:val="en-GB"/>
              </w:rPr>
              <w:t>Integrated forecasting workflow: mini-project, interpretation of results, reporting forecast quality and competence validation (Lecture – 2, Laboratory- 2)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8FFB" w14:textId="41537399" w:rsidR="00B3442F" w:rsidRDefault="00B3442F" w:rsidP="00B3442F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sz w:val="19"/>
              </w:rPr>
              <w:t>4</w:t>
            </w:r>
          </w:p>
        </w:tc>
      </w:tr>
      <w:tr w:rsidR="000D6ECA" w:rsidRPr="00B07B13" w14:paraId="5BB1A69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80DAF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91BBA2" w14:textId="796098EF" w:rsidR="000D6ECA" w:rsidRPr="00B07B13" w:rsidRDefault="00B21DD1" w:rsidP="00C84805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Total teaching hours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ED26" w14:textId="77777777" w:rsidR="000D6ECA" w:rsidRPr="00B07B13" w:rsidRDefault="000D6ECA" w:rsidP="00C84805">
            <w:pPr>
              <w:spacing w:after="549"/>
              <w:rPr>
                <w:b/>
                <w:lang w:val="en-US"/>
              </w:rPr>
            </w:pPr>
            <w:r w:rsidRPr="00B07B13">
              <w:rPr>
                <w:b/>
                <w:lang w:val="en-US"/>
              </w:rPr>
              <w:t>30</w:t>
            </w:r>
          </w:p>
        </w:tc>
      </w:tr>
    </w:tbl>
    <w:p w14:paraId="4950DC40" w14:textId="77777777" w:rsidR="000D6ECA" w:rsidRDefault="000D6ECA" w:rsidP="000D6ECA">
      <w:pPr>
        <w:tabs>
          <w:tab w:val="center" w:pos="4429"/>
        </w:tabs>
        <w:spacing w:after="214" w:line="265" w:lineRule="auto"/>
      </w:pPr>
    </w:p>
    <w:p w14:paraId="6E944F3D" w14:textId="77777777" w:rsidR="00B21DD1" w:rsidRDefault="00B21DD1" w:rsidP="00B21DD1">
      <w:pPr>
        <w:rPr>
          <w:b/>
          <w:color w:val="365F91"/>
          <w:sz w:val="28"/>
          <w:lang w:val="en-US"/>
        </w:rPr>
      </w:pPr>
      <w:r w:rsidRPr="00A848C1">
        <w:rPr>
          <w:b/>
          <w:color w:val="365F91"/>
          <w:sz w:val="28"/>
          <w:lang w:val="en-US"/>
        </w:rPr>
        <w:t>Teaching methods</w:t>
      </w:r>
    </w:p>
    <w:p w14:paraId="4AB0B87E" w14:textId="77777777" w:rsidR="00B21DD1" w:rsidRDefault="00B21DD1" w:rsidP="00B21DD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Interactive lecture</w:t>
      </w:r>
    </w:p>
    <w:p w14:paraId="0FC0C2D0" w14:textId="77777777" w:rsidR="00B21DD1" w:rsidRDefault="00B21DD1" w:rsidP="00B21DD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Project</w:t>
      </w:r>
    </w:p>
    <w:p w14:paraId="70FE6EEA" w14:textId="30BF61AA" w:rsidR="00B21DD1" w:rsidRDefault="00EE66A3" w:rsidP="00B21DD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Laboratory exercises</w:t>
      </w:r>
    </w:p>
    <w:p w14:paraId="6BF2008A" w14:textId="77777777" w:rsidR="00B21DD1" w:rsidRDefault="00B21DD1" w:rsidP="00B21DD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Case study</w:t>
      </w:r>
    </w:p>
    <w:p w14:paraId="3E0B9FF3" w14:textId="77777777" w:rsidR="00B21DD1" w:rsidRPr="00A848C1" w:rsidRDefault="00B21DD1" w:rsidP="00B21DD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Group work</w:t>
      </w:r>
    </w:p>
    <w:p w14:paraId="5F0403D1" w14:textId="77777777" w:rsidR="00B21DD1" w:rsidRPr="00182861" w:rsidRDefault="00B21DD1" w:rsidP="00B21DD1">
      <w:pPr>
        <w:pStyle w:val="ListParagraph"/>
        <w:suppressAutoHyphens w:val="0"/>
        <w:spacing w:line="256" w:lineRule="auto"/>
        <w:ind w:left="705"/>
      </w:pPr>
      <w:r w:rsidRPr="00182861">
        <w:rPr>
          <w:rFonts w:ascii="Cambria" w:eastAsia="Cambria" w:hAnsi="Cambria" w:cs="Cambria"/>
        </w:rPr>
        <w:tab/>
      </w:r>
    </w:p>
    <w:p w14:paraId="38136143" w14:textId="77777777" w:rsidR="00B21DD1" w:rsidRPr="001A5785" w:rsidRDefault="00B21DD1" w:rsidP="00B21DD1">
      <w:pPr>
        <w:pStyle w:val="Heading1"/>
        <w:rPr>
          <w:lang w:val="en-US"/>
        </w:rPr>
      </w:pPr>
      <w:r w:rsidRPr="001A5785">
        <w:rPr>
          <w:lang w:val="en-US"/>
        </w:rPr>
        <w:t>Student worktime requirements</w:t>
      </w:r>
    </w:p>
    <w:p w14:paraId="5A87163D" w14:textId="77777777" w:rsidR="00B21DD1" w:rsidRPr="001A5785" w:rsidRDefault="00B21DD1" w:rsidP="00B21DD1">
      <w:pPr>
        <w:rPr>
          <w:lang w:val="en-US"/>
        </w:rPr>
      </w:pPr>
      <w:r w:rsidRPr="001A5785">
        <w:rPr>
          <w:lang w:val="en-US"/>
        </w:rPr>
        <w:t>Contact hours: 30</w:t>
      </w:r>
      <w:r>
        <w:rPr>
          <w:lang w:val="en-US"/>
        </w:rPr>
        <w:t>h</w:t>
      </w:r>
    </w:p>
    <w:p w14:paraId="0B6D0645" w14:textId="77777777" w:rsidR="00B21DD1" w:rsidRPr="001A5785" w:rsidRDefault="00B21DD1" w:rsidP="00B21DD1">
      <w:pPr>
        <w:rPr>
          <w:lang w:val="en-US"/>
        </w:rPr>
      </w:pPr>
      <w:r w:rsidRPr="001A5785">
        <w:rPr>
          <w:lang w:val="en-US"/>
        </w:rPr>
        <w:t>Own</w:t>
      </w:r>
      <w:r>
        <w:rPr>
          <w:lang w:val="en-US"/>
        </w:rPr>
        <w:t xml:space="preserve"> work: 5h</w:t>
      </w:r>
    </w:p>
    <w:p w14:paraId="70962BF4" w14:textId="77777777" w:rsidR="00B21DD1" w:rsidRPr="001C7DC6" w:rsidRDefault="00B21DD1" w:rsidP="00B21DD1">
      <w:pPr>
        <w:rPr>
          <w:lang w:val="en-US"/>
        </w:rPr>
      </w:pPr>
      <w:r w:rsidRPr="001C7DC6">
        <w:rPr>
          <w:lang w:val="en-US"/>
        </w:rPr>
        <w:t>Total worktime requirement: 35h</w:t>
      </w:r>
    </w:p>
    <w:p w14:paraId="4C2113E5" w14:textId="77777777" w:rsidR="00B21DD1" w:rsidRPr="001C7DC6" w:rsidRDefault="00B21DD1" w:rsidP="00B21DD1">
      <w:pPr>
        <w:rPr>
          <w:lang w:val="en-US"/>
        </w:rPr>
      </w:pPr>
      <w:r w:rsidRPr="001C7DC6">
        <w:rPr>
          <w:lang w:val="en-US"/>
        </w:rPr>
        <w:t>ECTS points equivalent: 1</w:t>
      </w:r>
    </w:p>
    <w:p w14:paraId="2C051388" w14:textId="77777777" w:rsidR="00B21DD1" w:rsidRPr="001A5785" w:rsidRDefault="00B21DD1" w:rsidP="00B21DD1">
      <w:pPr>
        <w:rPr>
          <w:lang w:val="en-US"/>
        </w:rPr>
      </w:pPr>
      <w:r w:rsidRPr="001A5785">
        <w:rPr>
          <w:lang w:val="en-US"/>
        </w:rPr>
        <w:t>European Qualification Framework level: V</w:t>
      </w:r>
      <w:r>
        <w:rPr>
          <w:lang w:val="en-US"/>
        </w:rPr>
        <w:t>I</w:t>
      </w:r>
    </w:p>
    <w:p w14:paraId="59CB0BFE" w14:textId="77777777" w:rsidR="00B21DD1" w:rsidRPr="001A5785" w:rsidRDefault="00B21DD1" w:rsidP="00B21DD1">
      <w:pPr>
        <w:pStyle w:val="Heading1"/>
        <w:ind w:left="-5"/>
        <w:rPr>
          <w:lang w:val="en-US"/>
        </w:rPr>
      </w:pPr>
      <w:r w:rsidRPr="001A5785">
        <w:rPr>
          <w:lang w:val="en-US"/>
        </w:rPr>
        <w:t>Verification method</w:t>
      </w:r>
    </w:p>
    <w:p w14:paraId="5D97E2F8" w14:textId="77777777" w:rsidR="00B21DD1" w:rsidRPr="001A5785" w:rsidRDefault="00B21DD1" w:rsidP="00B21DD1">
      <w:pPr>
        <w:rPr>
          <w:lang w:val="en-US"/>
        </w:rPr>
      </w:pPr>
      <w:r w:rsidRPr="001A5785">
        <w:rPr>
          <w:lang w:val="en-US"/>
        </w:rPr>
        <w:t>Exam – multiple choice test online.</w:t>
      </w:r>
    </w:p>
    <w:p w14:paraId="26EB19D0" w14:textId="77777777" w:rsidR="00B21DD1" w:rsidRPr="00485CB5" w:rsidRDefault="00B21DD1" w:rsidP="00B21DD1">
      <w:pPr>
        <w:pStyle w:val="Heading1"/>
        <w:ind w:left="-5"/>
        <w:rPr>
          <w:lang w:val="en-US"/>
        </w:rPr>
      </w:pPr>
      <w:r>
        <w:rPr>
          <w:lang w:val="en-US"/>
        </w:rPr>
        <w:t>Teaching material - references</w:t>
      </w:r>
    </w:p>
    <w:p w14:paraId="244A129C" w14:textId="77777777" w:rsidR="00B21DD1" w:rsidRPr="001A5785" w:rsidRDefault="00B21DD1" w:rsidP="00B21DD1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b/>
          <w:lang w:val="en-US"/>
        </w:rPr>
      </w:pPr>
      <w:r w:rsidRPr="001A5785">
        <w:rPr>
          <w:rFonts w:ascii="Cambria" w:eastAsia="Cambria" w:hAnsi="Cambria" w:cs="Cambria"/>
          <w:b/>
          <w:lang w:val="en-US"/>
        </w:rPr>
        <w:t>Main positions</w:t>
      </w:r>
    </w:p>
    <w:p w14:paraId="249F7B54" w14:textId="56E01BB8" w:rsidR="00B3442F" w:rsidRPr="00B3442F" w:rsidRDefault="00B3442F" w:rsidP="00B3442F">
      <w:pPr>
        <w:tabs>
          <w:tab w:val="center" w:pos="4429"/>
        </w:tabs>
        <w:spacing w:after="222" w:line="264" w:lineRule="auto"/>
        <w:jc w:val="both"/>
        <w:rPr>
          <w:b/>
        </w:rPr>
      </w:pPr>
      <w:r w:rsidRPr="00B3442F">
        <w:rPr>
          <w:rFonts w:ascii="Cambria" w:eastAsia="Cambria" w:hAnsi="Cambria" w:cs="Cambria"/>
          <w:b/>
          <w:sz w:val="21"/>
        </w:rPr>
        <w:lastRenderedPageBreak/>
        <w:tab/>
        <w:t xml:space="preserve"> </w:t>
      </w:r>
    </w:p>
    <w:p w14:paraId="154B1850" w14:textId="77777777" w:rsidR="00B3442F" w:rsidRDefault="00B3442F" w:rsidP="00B3442F">
      <w:pPr>
        <w:jc w:val="both"/>
        <w:rPr>
          <w:lang w:val="en-GB"/>
        </w:rPr>
      </w:pPr>
      <w:proofErr w:type="spellStart"/>
      <w:r>
        <w:rPr>
          <w:sz w:val="21"/>
        </w:rPr>
        <w:t>Petropoulos</w:t>
      </w:r>
      <w:proofErr w:type="spellEnd"/>
      <w:r>
        <w:rPr>
          <w:sz w:val="21"/>
        </w:rPr>
        <w:t xml:space="preserve">, F. i in. </w:t>
      </w:r>
      <w:r>
        <w:rPr>
          <w:sz w:val="21"/>
          <w:lang w:val="en-GB"/>
        </w:rPr>
        <w:t>(2022). Forecasting: theory and practice. International Journal of Forecasting, 38(3), 705–871.</w:t>
      </w:r>
    </w:p>
    <w:p w14:paraId="7CF083E2" w14:textId="77777777" w:rsidR="00B3442F" w:rsidRDefault="00B3442F" w:rsidP="00B3442F">
      <w:pPr>
        <w:jc w:val="both"/>
        <w:rPr>
          <w:lang w:val="en-GB"/>
        </w:rPr>
      </w:pPr>
      <w:r>
        <w:rPr>
          <w:sz w:val="21"/>
          <w:lang w:val="en-GB"/>
        </w:rPr>
        <w:t xml:space="preserve">Hyndman, R. J., </w:t>
      </w:r>
      <w:proofErr w:type="spellStart"/>
      <w:r>
        <w:rPr>
          <w:sz w:val="21"/>
          <w:lang w:val="en-GB"/>
        </w:rPr>
        <w:t>Athanasopoulos</w:t>
      </w:r>
      <w:proofErr w:type="spellEnd"/>
      <w:r>
        <w:rPr>
          <w:sz w:val="21"/>
          <w:lang w:val="en-GB"/>
        </w:rPr>
        <w:t xml:space="preserve">, G. Forecasting: Principles and Practice, </w:t>
      </w:r>
      <w:proofErr w:type="spellStart"/>
      <w:r>
        <w:rPr>
          <w:sz w:val="21"/>
          <w:lang w:val="en-GB"/>
        </w:rPr>
        <w:t>dostęp</w:t>
      </w:r>
      <w:proofErr w:type="spellEnd"/>
      <w:r>
        <w:rPr>
          <w:sz w:val="21"/>
          <w:lang w:val="en-GB"/>
        </w:rPr>
        <w:t xml:space="preserve"> online: https://otexts.com/fpp3/.</w:t>
      </w:r>
    </w:p>
    <w:p w14:paraId="3200789A" w14:textId="77777777" w:rsidR="00B3442F" w:rsidRDefault="00B3442F" w:rsidP="00B3442F">
      <w:pPr>
        <w:jc w:val="both"/>
        <w:rPr>
          <w:lang w:val="en-GB"/>
        </w:rPr>
      </w:pPr>
      <w:proofErr w:type="spellStart"/>
      <w:r>
        <w:rPr>
          <w:sz w:val="21"/>
          <w:lang w:val="en-GB"/>
        </w:rPr>
        <w:t>Weron</w:t>
      </w:r>
      <w:proofErr w:type="spellEnd"/>
      <w:r>
        <w:rPr>
          <w:sz w:val="21"/>
          <w:lang w:val="en-GB"/>
        </w:rPr>
        <w:t>, R. (2014). Electricity price forecasting: A review of the state-of-the-art with a look into the future. International Journal of Forecasting, 30(4), 1030–1081.</w:t>
      </w:r>
    </w:p>
    <w:p w14:paraId="72BF4E1D" w14:textId="77777777" w:rsidR="00B21DD1" w:rsidRPr="00A848C1" w:rsidRDefault="00B21DD1" w:rsidP="00B21DD1">
      <w:pPr>
        <w:tabs>
          <w:tab w:val="center" w:pos="4429"/>
        </w:tabs>
        <w:spacing w:after="214" w:line="265" w:lineRule="auto"/>
        <w:rPr>
          <w:rFonts w:ascii="Cambria" w:eastAsia="Cambria" w:hAnsi="Cambria" w:cs="Cambria"/>
          <w:b/>
          <w:lang w:val="en-US"/>
        </w:rPr>
      </w:pPr>
      <w:r w:rsidRPr="001A5785">
        <w:rPr>
          <w:rFonts w:ascii="Cambria" w:eastAsia="Cambria" w:hAnsi="Cambria" w:cs="Cambria"/>
          <w:b/>
          <w:lang w:val="en-US"/>
        </w:rPr>
        <w:t>Additional positions</w:t>
      </w:r>
    </w:p>
    <w:p w14:paraId="6E1A502C" w14:textId="77777777" w:rsidR="00B3442F" w:rsidRDefault="00B3442F" w:rsidP="00B3442F">
      <w:pPr>
        <w:jc w:val="both"/>
        <w:rPr>
          <w:lang w:val="en-GB"/>
        </w:rPr>
      </w:pPr>
      <w:r>
        <w:rPr>
          <w:sz w:val="21"/>
          <w:lang w:val="en-GB"/>
        </w:rPr>
        <w:t xml:space="preserve">Lago, J., De Ridder, F., De </w:t>
      </w:r>
      <w:proofErr w:type="spellStart"/>
      <w:r>
        <w:rPr>
          <w:sz w:val="21"/>
          <w:lang w:val="en-GB"/>
        </w:rPr>
        <w:t>Schutter</w:t>
      </w:r>
      <w:proofErr w:type="spellEnd"/>
      <w:r>
        <w:rPr>
          <w:sz w:val="21"/>
          <w:lang w:val="en-GB"/>
        </w:rPr>
        <w:t>, B. (2018). Forecasting spot electricity prices: Deep learning approaches and empirical comparison of traditional algorithms. Applied Energy, 221, 386–405.</w:t>
      </w:r>
    </w:p>
    <w:p w14:paraId="0282A8F1" w14:textId="77777777" w:rsidR="00B3442F" w:rsidRDefault="00B3442F" w:rsidP="00B3442F">
      <w:pPr>
        <w:jc w:val="both"/>
      </w:pPr>
      <w:r>
        <w:rPr>
          <w:sz w:val="21"/>
          <w:lang w:val="en-GB"/>
        </w:rPr>
        <w:t xml:space="preserve">Hong, T., Pinson, P., Fan, S. (2014). Global Energy Forecasting Competition 2012. </w:t>
      </w:r>
      <w:r>
        <w:rPr>
          <w:sz w:val="21"/>
        </w:rPr>
        <w:t xml:space="preserve">International </w:t>
      </w:r>
      <w:proofErr w:type="spellStart"/>
      <w:r>
        <w:rPr>
          <w:sz w:val="21"/>
        </w:rPr>
        <w:t>Journal</w:t>
      </w:r>
      <w:proofErr w:type="spellEnd"/>
      <w:r>
        <w:rPr>
          <w:sz w:val="21"/>
        </w:rPr>
        <w:t xml:space="preserve"> of </w:t>
      </w:r>
      <w:proofErr w:type="spellStart"/>
      <w:r>
        <w:rPr>
          <w:sz w:val="21"/>
        </w:rPr>
        <w:t>Forecasting</w:t>
      </w:r>
      <w:proofErr w:type="spellEnd"/>
      <w:r>
        <w:rPr>
          <w:sz w:val="21"/>
        </w:rPr>
        <w:t>, 30(2), 357–363.</w:t>
      </w:r>
    </w:p>
    <w:p w14:paraId="6997C9E4" w14:textId="77777777" w:rsidR="00B3442F" w:rsidRDefault="00B3442F" w:rsidP="00B3442F">
      <w:pPr>
        <w:jc w:val="both"/>
      </w:pPr>
      <w:r>
        <w:rPr>
          <w:sz w:val="21"/>
        </w:rPr>
        <w:t>Materiały własne prowadzącego: zbiory danych, notebooki laboratoryjne, slajdy wykładowe oraz instrukcje do mini-projektu.</w:t>
      </w:r>
    </w:p>
    <w:p w14:paraId="322E70AA" w14:textId="440F93A2" w:rsidR="00B07B13" w:rsidRPr="00182861" w:rsidRDefault="00B07B13" w:rsidP="00B3442F">
      <w:pPr>
        <w:tabs>
          <w:tab w:val="center" w:pos="4429"/>
        </w:tabs>
        <w:spacing w:after="222" w:line="264" w:lineRule="auto"/>
        <w:rPr>
          <w:rFonts w:eastAsia="Cambria"/>
        </w:rPr>
      </w:pPr>
    </w:p>
    <w:sectPr w:rsidR="00B07B13" w:rsidRPr="00182861">
      <w:headerReference w:type="default" r:id="rId7"/>
      <w:pgSz w:w="12240" w:h="15840"/>
      <w:pgMar w:top="1480" w:right="3168" w:bottom="2035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A7F45" w14:textId="77777777" w:rsidR="008E68B4" w:rsidRDefault="008E68B4" w:rsidP="00D2415B">
      <w:pPr>
        <w:spacing w:after="0" w:line="240" w:lineRule="auto"/>
      </w:pPr>
      <w:r>
        <w:separator/>
      </w:r>
    </w:p>
  </w:endnote>
  <w:endnote w:type="continuationSeparator" w:id="0">
    <w:p w14:paraId="00B69BCB" w14:textId="77777777" w:rsidR="008E68B4" w:rsidRDefault="008E68B4" w:rsidP="00D2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79ED4" w14:textId="77777777" w:rsidR="008E68B4" w:rsidRDefault="008E68B4" w:rsidP="00D2415B">
      <w:pPr>
        <w:spacing w:after="0" w:line="240" w:lineRule="auto"/>
      </w:pPr>
      <w:r>
        <w:separator/>
      </w:r>
    </w:p>
  </w:footnote>
  <w:footnote w:type="continuationSeparator" w:id="0">
    <w:p w14:paraId="7AB35C8C" w14:textId="77777777" w:rsidR="008E68B4" w:rsidRDefault="008E68B4" w:rsidP="00D2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0552C" w14:textId="40E69B9F" w:rsidR="00D2415B" w:rsidRDefault="00D2415B">
    <w:pPr>
      <w:pStyle w:val="Header"/>
    </w:pPr>
    <w:r w:rsidRPr="00D2415B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69ED00F2" wp14:editId="2BD8BEAB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617720" cy="47117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772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19D48" w14:textId="77777777" w:rsidR="00D2415B" w:rsidRDefault="00D241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8544A15"/>
    <w:multiLevelType w:val="hybridMultilevel"/>
    <w:tmpl w:val="7F80E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773FC"/>
    <w:multiLevelType w:val="hybridMultilevel"/>
    <w:tmpl w:val="7FCEA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21BD5"/>
    <w:multiLevelType w:val="hybridMultilevel"/>
    <w:tmpl w:val="0CC09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3223A"/>
    <w:multiLevelType w:val="hybridMultilevel"/>
    <w:tmpl w:val="7A8E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A0B9F"/>
    <w:multiLevelType w:val="hybridMultilevel"/>
    <w:tmpl w:val="E6FA87D6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6F2A7F93"/>
    <w:multiLevelType w:val="hybridMultilevel"/>
    <w:tmpl w:val="DF48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3D"/>
    <w:rsid w:val="00041182"/>
    <w:rsid w:val="000D6ECA"/>
    <w:rsid w:val="00101019"/>
    <w:rsid w:val="0010739E"/>
    <w:rsid w:val="00182861"/>
    <w:rsid w:val="002951BC"/>
    <w:rsid w:val="00305BDA"/>
    <w:rsid w:val="00316868"/>
    <w:rsid w:val="00324DA3"/>
    <w:rsid w:val="00420332"/>
    <w:rsid w:val="004A4AE8"/>
    <w:rsid w:val="004C0C89"/>
    <w:rsid w:val="00510A6B"/>
    <w:rsid w:val="0051268C"/>
    <w:rsid w:val="005169D6"/>
    <w:rsid w:val="00574B0B"/>
    <w:rsid w:val="0058394D"/>
    <w:rsid w:val="0063761A"/>
    <w:rsid w:val="006E7C7F"/>
    <w:rsid w:val="00781087"/>
    <w:rsid w:val="0079746E"/>
    <w:rsid w:val="007B3CED"/>
    <w:rsid w:val="00874667"/>
    <w:rsid w:val="008E68B4"/>
    <w:rsid w:val="009327FE"/>
    <w:rsid w:val="009A4F61"/>
    <w:rsid w:val="009E12FA"/>
    <w:rsid w:val="00A62D86"/>
    <w:rsid w:val="00AE0050"/>
    <w:rsid w:val="00B07B13"/>
    <w:rsid w:val="00B16D0F"/>
    <w:rsid w:val="00B21DD1"/>
    <w:rsid w:val="00B3442F"/>
    <w:rsid w:val="00B61109"/>
    <w:rsid w:val="00BB3AED"/>
    <w:rsid w:val="00C2553D"/>
    <w:rsid w:val="00CA3ECC"/>
    <w:rsid w:val="00CD3777"/>
    <w:rsid w:val="00D2415B"/>
    <w:rsid w:val="00D84587"/>
    <w:rsid w:val="00DF0CB6"/>
    <w:rsid w:val="00DF2BFC"/>
    <w:rsid w:val="00E70717"/>
    <w:rsid w:val="00E738A9"/>
    <w:rsid w:val="00E81F35"/>
    <w:rsid w:val="00EE66A3"/>
    <w:rsid w:val="00EF56CD"/>
    <w:rsid w:val="00FC20A7"/>
    <w:rsid w:val="00F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4424"/>
  <w15:docId w15:val="{850F1E1A-90E5-4F3D-9B02-F8DA136A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365F91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B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65F91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B07B1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B13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5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5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B61109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1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Marcin</cp:lastModifiedBy>
  <cp:revision>4</cp:revision>
  <dcterms:created xsi:type="dcterms:W3CDTF">2026-06-15T17:03:00Z</dcterms:created>
  <dcterms:modified xsi:type="dcterms:W3CDTF">2026-06-15T17:11:00Z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f33638a5-68e4-462e-8bd2-beb078b14e85</vt:lpwstr>
  </property>
</Properties>
</file>